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所供试剂参数和设备符合临床使用需求，免费升级软硬件以适应临床需要。</w:t>
      </w:r>
    </w:p>
    <w:p w14:paraId="2E15A16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试剂和设备运输、安装至正常使用所产生的一切费用由供应商承担。</w:t>
      </w:r>
    </w:p>
    <w:p w14:paraId="0EDD8200"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提供的产品和设备必须具有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273A422C"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合同执行过程中，</w:t>
      </w:r>
      <w:r>
        <w:rPr>
          <w:rFonts w:ascii="华文楷体" w:eastAsia="华文楷体" w:hAnsi="华文楷体"/>
          <w:bCs/>
          <w:sz w:val="24"/>
        </w:rPr>
        <w:t>对</w:t>
      </w:r>
      <w:r>
        <w:rPr>
          <w:rFonts w:ascii="华文楷体" w:eastAsia="华文楷体" w:hAnsi="华文楷体"/>
          <w:sz w:val="24"/>
        </w:rPr>
        <w:t>试剂耗材</w:t>
      </w:r>
      <w:r>
        <w:rPr>
          <w:rFonts w:ascii="华文楷体" w:eastAsia="华文楷体" w:hAnsi="华文楷体"/>
          <w:bCs/>
          <w:sz w:val="24"/>
        </w:rPr>
        <w:t>使用成本或</w:t>
      </w:r>
      <w:r>
        <w:rPr>
          <w:rFonts w:ascii="华文楷体" w:eastAsia="华文楷体" w:hAnsi="华文楷体"/>
          <w:sz w:val="24"/>
        </w:rPr>
        <w:t>该项目试剂成本占医院HIS收费</w:t>
      </w:r>
      <w:r>
        <w:rPr>
          <w:rFonts w:ascii="华文楷体" w:eastAsia="华文楷体" w:hAnsi="华文楷体" w:hint="eastAsia"/>
          <w:sz w:val="24"/>
        </w:rPr>
        <w:t>百分比（成本占比）</w:t>
      </w:r>
      <w:r>
        <w:rPr>
          <w:rFonts w:ascii="华文楷体" w:eastAsia="华文楷体" w:hAnsi="华文楷体"/>
          <w:bCs/>
          <w:sz w:val="24"/>
        </w:rPr>
        <w:t>进行核算。</w:t>
      </w:r>
      <w:r>
        <w:rPr>
          <w:rFonts w:ascii="华文楷体" w:eastAsia="华文楷体" w:hAnsi="华文楷体" w:hint="eastAsia"/>
          <w:bCs/>
          <w:sz w:val="24"/>
        </w:rPr>
        <w:t>若</w:t>
      </w:r>
      <w:r>
        <w:rPr>
          <w:rFonts w:ascii="华文楷体" w:eastAsia="华文楷体" w:hAnsi="华文楷体"/>
          <w:bCs/>
          <w:sz w:val="24"/>
        </w:rPr>
        <w:t>实际核算成本</w:t>
      </w:r>
      <w:r>
        <w:rPr>
          <w:rFonts w:ascii="华文楷体" w:eastAsia="华文楷体" w:hAnsi="华文楷体" w:hint="eastAsia"/>
          <w:bCs/>
          <w:sz w:val="24"/>
        </w:rPr>
        <w:t>占比</w:t>
      </w:r>
      <w:r>
        <w:rPr>
          <w:rFonts w:ascii="华文楷体" w:eastAsia="华文楷体" w:hAnsi="华文楷体"/>
          <w:bCs/>
          <w:sz w:val="24"/>
        </w:rPr>
        <w:t>高</w:t>
      </w:r>
      <w:proofErr w:type="gramStart"/>
      <w:r>
        <w:rPr>
          <w:rFonts w:ascii="华文楷体" w:eastAsia="华文楷体" w:hAnsi="华文楷体"/>
          <w:bCs/>
          <w:sz w:val="24"/>
        </w:rPr>
        <w:t>于供应</w:t>
      </w:r>
      <w:proofErr w:type="gramEnd"/>
      <w:r>
        <w:rPr>
          <w:rFonts w:ascii="华文楷体" w:eastAsia="华文楷体" w:hAnsi="华文楷体"/>
          <w:bCs/>
          <w:sz w:val="24"/>
        </w:rPr>
        <w:t>商承诺</w:t>
      </w:r>
      <w:r>
        <w:rPr>
          <w:rFonts w:ascii="华文楷体" w:eastAsia="华文楷体" w:hAnsi="华文楷体" w:hint="eastAsia"/>
          <w:bCs/>
          <w:sz w:val="24"/>
        </w:rPr>
        <w:t>的成本占比</w:t>
      </w:r>
      <w:r>
        <w:rPr>
          <w:rFonts w:ascii="华文楷体" w:eastAsia="华文楷体" w:hAnsi="华文楷体"/>
          <w:bCs/>
          <w:sz w:val="24"/>
        </w:rPr>
        <w:t>，则</w:t>
      </w:r>
      <w:r>
        <w:rPr>
          <w:rFonts w:ascii="华文楷体" w:eastAsia="华文楷体" w:hAnsi="华文楷体" w:hint="eastAsia"/>
          <w:bCs/>
          <w:sz w:val="24"/>
        </w:rPr>
        <w:t>需调整</w:t>
      </w:r>
      <w:r>
        <w:rPr>
          <w:rFonts w:ascii="华文楷体" w:eastAsia="华文楷体" w:hAnsi="华文楷体"/>
          <w:sz w:val="24"/>
        </w:rPr>
        <w:t>试剂或耗材</w:t>
      </w:r>
      <w:r>
        <w:rPr>
          <w:rFonts w:ascii="华文楷体" w:eastAsia="华文楷体" w:hAnsi="华文楷体" w:hint="eastAsia"/>
          <w:bCs/>
          <w:sz w:val="24"/>
        </w:rPr>
        <w:t>价格</w:t>
      </w:r>
      <w:r>
        <w:rPr>
          <w:rFonts w:ascii="华文楷体" w:eastAsia="华文楷体" w:hAnsi="华文楷体"/>
          <w:bCs/>
          <w:sz w:val="24"/>
        </w:rPr>
        <w:t>，使实际核算成本</w:t>
      </w:r>
      <w:r>
        <w:rPr>
          <w:rFonts w:ascii="华文楷体" w:eastAsia="华文楷体" w:hAnsi="华文楷体" w:hint="eastAsia"/>
          <w:bCs/>
          <w:sz w:val="24"/>
        </w:rPr>
        <w:t>占比</w:t>
      </w:r>
      <w:r>
        <w:rPr>
          <w:rFonts w:ascii="华文楷体" w:eastAsia="华文楷体" w:hAnsi="华文楷体"/>
          <w:bCs/>
          <w:sz w:val="24"/>
        </w:rPr>
        <w:t>符合承诺</w:t>
      </w:r>
      <w:r>
        <w:rPr>
          <w:rFonts w:ascii="华文楷体" w:eastAsia="华文楷体" w:hAnsi="华文楷体" w:hint="eastAsia"/>
          <w:bCs/>
          <w:sz w:val="24"/>
        </w:rPr>
        <w:t>的</w:t>
      </w:r>
      <w:r>
        <w:rPr>
          <w:rFonts w:ascii="华文楷体" w:eastAsia="华文楷体" w:hAnsi="华文楷体"/>
          <w:bCs/>
          <w:sz w:val="24"/>
        </w:rPr>
        <w:t>成本</w:t>
      </w:r>
      <w:r>
        <w:rPr>
          <w:rFonts w:ascii="华文楷体" w:eastAsia="华文楷体" w:hAnsi="华文楷体" w:hint="eastAsia"/>
          <w:bCs/>
          <w:sz w:val="24"/>
        </w:rPr>
        <w:t>占比</w:t>
      </w:r>
      <w:r>
        <w:rPr>
          <w:rFonts w:ascii="华文楷体" w:eastAsia="华文楷体" w:hAnsi="华文楷体"/>
          <w:bCs/>
          <w:sz w:val="24"/>
        </w:rPr>
        <w:t>，并</w:t>
      </w:r>
      <w:r>
        <w:rPr>
          <w:rFonts w:ascii="华文楷体" w:eastAsia="华文楷体" w:hAnsi="华文楷体"/>
          <w:sz w:val="24"/>
        </w:rPr>
        <w:t>赔偿已采购成本差</w:t>
      </w:r>
      <w:r>
        <w:rPr>
          <w:rFonts w:ascii="华文楷体" w:eastAsia="华文楷体" w:hAnsi="华文楷体"/>
          <w:bCs/>
          <w:sz w:val="24"/>
        </w:rPr>
        <w:t>；</w:t>
      </w:r>
      <w:r>
        <w:rPr>
          <w:rFonts w:ascii="华文楷体" w:eastAsia="华文楷体" w:hAnsi="华文楷体" w:hint="eastAsia"/>
          <w:bCs/>
          <w:sz w:val="24"/>
        </w:rPr>
        <w:t>若</w:t>
      </w:r>
      <w:r>
        <w:rPr>
          <w:rFonts w:ascii="华文楷体" w:eastAsia="华文楷体" w:hAnsi="华文楷体"/>
          <w:bCs/>
          <w:sz w:val="24"/>
        </w:rPr>
        <w:t>实际核算成本</w:t>
      </w:r>
      <w:r>
        <w:rPr>
          <w:rFonts w:ascii="华文楷体" w:eastAsia="华文楷体" w:hAnsi="华文楷体" w:hint="eastAsia"/>
          <w:bCs/>
          <w:sz w:val="24"/>
        </w:rPr>
        <w:t>占比</w:t>
      </w:r>
      <w:r>
        <w:rPr>
          <w:rFonts w:ascii="华文楷体" w:eastAsia="华文楷体" w:hAnsi="华文楷体"/>
          <w:bCs/>
          <w:sz w:val="24"/>
        </w:rPr>
        <w:t>不高于承诺成本</w:t>
      </w:r>
      <w:r>
        <w:rPr>
          <w:rFonts w:ascii="华文楷体" w:eastAsia="华文楷体" w:hAnsi="华文楷体" w:hint="eastAsia"/>
          <w:bCs/>
          <w:sz w:val="24"/>
        </w:rPr>
        <w:t>占比</w:t>
      </w:r>
      <w:r>
        <w:rPr>
          <w:rFonts w:ascii="华文楷体" w:eastAsia="华文楷体" w:hAnsi="华文楷体"/>
          <w:bCs/>
          <w:sz w:val="24"/>
        </w:rPr>
        <w:t>，则</w:t>
      </w:r>
      <w:r>
        <w:rPr>
          <w:rFonts w:ascii="华文楷体" w:eastAsia="华文楷体" w:hAnsi="华文楷体" w:hint="eastAsia"/>
          <w:bCs/>
          <w:sz w:val="24"/>
        </w:rPr>
        <w:t>无需调整</w:t>
      </w:r>
      <w:r>
        <w:rPr>
          <w:rFonts w:ascii="华文楷体" w:eastAsia="华文楷体" w:hAnsi="华文楷体"/>
          <w:sz w:val="24"/>
        </w:rPr>
        <w:t>试剂或耗材</w:t>
      </w:r>
      <w:r>
        <w:rPr>
          <w:rFonts w:ascii="华文楷体" w:eastAsia="华文楷体" w:hAnsi="华文楷体"/>
          <w:bCs/>
          <w:sz w:val="24"/>
        </w:rPr>
        <w:t>价格</w:t>
      </w:r>
      <w:r>
        <w:rPr>
          <w:rFonts w:ascii="华文楷体" w:eastAsia="华文楷体" w:hAnsi="华文楷体"/>
          <w:sz w:val="24"/>
        </w:rPr>
        <w:t>。</w:t>
      </w:r>
    </w:p>
    <w:p w14:paraId="01094F6E" w14:textId="77777777" w:rsidR="00A43630" w:rsidRDefault="009E4566">
      <w:pPr>
        <w:pStyle w:val="a9"/>
        <w:numPr>
          <w:ilvl w:val="0"/>
          <w:numId w:val="3"/>
        </w:numPr>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5D38E056" w14:textId="77777777" w:rsidR="00A43630" w:rsidRDefault="009E4566">
      <w:pPr>
        <w:pStyle w:val="a9"/>
        <w:numPr>
          <w:ilvl w:val="0"/>
          <w:numId w:val="3"/>
        </w:numPr>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lastRenderedPageBreak/>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303" w:type="pct"/>
        <w:tblLayout w:type="fixed"/>
        <w:tblLook w:val="04A0" w:firstRow="1" w:lastRow="0" w:firstColumn="1" w:lastColumn="0" w:noHBand="0" w:noVBand="1"/>
      </w:tblPr>
      <w:tblGrid>
        <w:gridCol w:w="818"/>
        <w:gridCol w:w="1190"/>
        <w:gridCol w:w="851"/>
        <w:gridCol w:w="734"/>
        <w:gridCol w:w="851"/>
        <w:gridCol w:w="624"/>
        <w:gridCol w:w="607"/>
        <w:gridCol w:w="669"/>
        <w:gridCol w:w="568"/>
        <w:gridCol w:w="991"/>
        <w:gridCol w:w="1135"/>
      </w:tblGrid>
      <w:tr w:rsidR="00A43630" w14:paraId="78A8F306" w14:textId="77777777" w:rsidTr="00B412F3">
        <w:trPr>
          <w:trHeight w:val="617"/>
        </w:trPr>
        <w:tc>
          <w:tcPr>
            <w:tcW w:w="452" w:type="pct"/>
            <w:vAlign w:val="center"/>
          </w:tcPr>
          <w:p w14:paraId="1A46413A"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658" w:type="pct"/>
            <w:vAlign w:val="center"/>
          </w:tcPr>
          <w:p w14:paraId="14411721"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471" w:type="pct"/>
            <w:vAlign w:val="center"/>
          </w:tcPr>
          <w:p w14:paraId="2021044A"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6" w:type="pct"/>
            <w:vAlign w:val="center"/>
          </w:tcPr>
          <w:p w14:paraId="2DAE404F" w14:textId="48222DAD" w:rsidR="00A43630" w:rsidRDefault="009E4566"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w:t>
            </w:r>
            <w:r w:rsidR="00571294">
              <w:rPr>
                <w:rFonts w:ascii="华文楷体" w:eastAsia="华文楷体" w:hAnsi="华文楷体"/>
                <w:b/>
                <w:kern w:val="0"/>
                <w:sz w:val="20"/>
                <w:szCs w:val="21"/>
              </w:rPr>
              <w:t>产品</w:t>
            </w:r>
            <w:r>
              <w:rPr>
                <w:rFonts w:ascii="华文楷体" w:eastAsia="华文楷体" w:hAnsi="华文楷体"/>
                <w:b/>
                <w:kern w:val="0"/>
                <w:sz w:val="20"/>
                <w:szCs w:val="21"/>
              </w:rPr>
              <w:t>代码</w:t>
            </w:r>
          </w:p>
        </w:tc>
        <w:tc>
          <w:tcPr>
            <w:tcW w:w="471" w:type="pct"/>
            <w:vAlign w:val="center"/>
          </w:tcPr>
          <w:p w14:paraId="10E5DDBC"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45" w:type="pct"/>
            <w:vAlign w:val="center"/>
          </w:tcPr>
          <w:p w14:paraId="5D783044"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36" w:type="pct"/>
            <w:vAlign w:val="center"/>
          </w:tcPr>
          <w:p w14:paraId="66E078AB"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370" w:type="pct"/>
            <w:vAlign w:val="center"/>
          </w:tcPr>
          <w:p w14:paraId="4C821B67"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型号规格（包括人份）</w:t>
            </w:r>
          </w:p>
        </w:tc>
        <w:tc>
          <w:tcPr>
            <w:tcW w:w="314" w:type="pct"/>
            <w:vAlign w:val="center"/>
          </w:tcPr>
          <w:p w14:paraId="36620BBF"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548" w:type="pct"/>
            <w:vAlign w:val="center"/>
          </w:tcPr>
          <w:p w14:paraId="6A69633E"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628" w:type="pct"/>
            <w:vAlign w:val="center"/>
          </w:tcPr>
          <w:p w14:paraId="68113EF4" w14:textId="6AA2A2CE"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sidR="00BB5AD8">
              <w:rPr>
                <w:rFonts w:ascii="华文楷体" w:eastAsia="华文楷体" w:hAnsi="华文楷体" w:hint="eastAsia"/>
                <w:b/>
                <w:kern w:val="0"/>
                <w:sz w:val="20"/>
                <w:szCs w:val="21"/>
              </w:rPr>
              <w:t>（</w:t>
            </w:r>
            <w:r w:rsidR="00543CAD">
              <w:rPr>
                <w:rFonts w:ascii="华文楷体" w:eastAsia="华文楷体" w:hAnsi="华文楷体" w:hint="eastAsia"/>
                <w:b/>
                <w:kern w:val="0"/>
                <w:sz w:val="20"/>
                <w:szCs w:val="21"/>
              </w:rPr>
              <w:t>提供</w:t>
            </w:r>
            <w:r w:rsidR="00BB5AD8">
              <w:rPr>
                <w:rFonts w:ascii="华文楷体" w:eastAsia="华文楷体" w:hAnsi="华文楷体" w:hint="eastAsia"/>
                <w:b/>
                <w:kern w:val="0"/>
                <w:sz w:val="20"/>
                <w:szCs w:val="21"/>
              </w:rPr>
              <w:t>其他医院销售发票复印件）</w:t>
            </w:r>
          </w:p>
        </w:tc>
      </w:tr>
      <w:tr w:rsidR="00A43630" w14:paraId="24A20265" w14:textId="77777777" w:rsidTr="00B412F3">
        <w:trPr>
          <w:trHeight w:val="617"/>
        </w:trPr>
        <w:tc>
          <w:tcPr>
            <w:tcW w:w="452" w:type="pct"/>
            <w:vAlign w:val="center"/>
          </w:tcPr>
          <w:p w14:paraId="04802BF6" w14:textId="77777777" w:rsidR="00A43630" w:rsidRDefault="00A43630" w:rsidP="00B412F3">
            <w:pPr>
              <w:jc w:val="center"/>
              <w:rPr>
                <w:rFonts w:ascii="华文楷体" w:eastAsia="华文楷体" w:hAnsi="华文楷体"/>
                <w:b/>
                <w:kern w:val="0"/>
                <w:sz w:val="20"/>
                <w:szCs w:val="21"/>
              </w:rPr>
            </w:pPr>
          </w:p>
        </w:tc>
        <w:tc>
          <w:tcPr>
            <w:tcW w:w="658" w:type="pct"/>
            <w:vAlign w:val="center"/>
          </w:tcPr>
          <w:p w14:paraId="44233CBB"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16DDACE6" w14:textId="77777777" w:rsidR="00A43630" w:rsidRDefault="00A43630" w:rsidP="00B412F3">
            <w:pPr>
              <w:jc w:val="center"/>
              <w:rPr>
                <w:rFonts w:ascii="华文楷体" w:eastAsia="华文楷体" w:hAnsi="华文楷体"/>
                <w:b/>
                <w:kern w:val="0"/>
                <w:sz w:val="20"/>
                <w:szCs w:val="21"/>
              </w:rPr>
            </w:pPr>
          </w:p>
        </w:tc>
        <w:tc>
          <w:tcPr>
            <w:tcW w:w="406" w:type="pct"/>
            <w:vAlign w:val="center"/>
          </w:tcPr>
          <w:p w14:paraId="513EBAA9"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6E8BCDB1" w14:textId="77777777" w:rsidR="00A43630" w:rsidRDefault="00A43630" w:rsidP="00B412F3">
            <w:pPr>
              <w:jc w:val="center"/>
              <w:rPr>
                <w:rFonts w:ascii="华文楷体" w:eastAsia="华文楷体" w:hAnsi="华文楷体"/>
                <w:b/>
                <w:kern w:val="0"/>
                <w:sz w:val="20"/>
                <w:szCs w:val="21"/>
              </w:rPr>
            </w:pPr>
          </w:p>
        </w:tc>
        <w:tc>
          <w:tcPr>
            <w:tcW w:w="345" w:type="pct"/>
            <w:vAlign w:val="center"/>
          </w:tcPr>
          <w:p w14:paraId="045EF983" w14:textId="77777777" w:rsidR="00A43630" w:rsidRDefault="00A43630" w:rsidP="00B412F3">
            <w:pPr>
              <w:jc w:val="center"/>
              <w:rPr>
                <w:rFonts w:ascii="华文楷体" w:eastAsia="华文楷体" w:hAnsi="华文楷体"/>
                <w:b/>
                <w:kern w:val="0"/>
                <w:sz w:val="20"/>
                <w:szCs w:val="21"/>
              </w:rPr>
            </w:pPr>
          </w:p>
        </w:tc>
        <w:tc>
          <w:tcPr>
            <w:tcW w:w="336" w:type="pct"/>
            <w:vAlign w:val="center"/>
          </w:tcPr>
          <w:p w14:paraId="4A96D3F5" w14:textId="77777777" w:rsidR="00A43630" w:rsidRDefault="00A43630" w:rsidP="00B412F3">
            <w:pPr>
              <w:jc w:val="center"/>
              <w:rPr>
                <w:rFonts w:ascii="华文楷体" w:eastAsia="华文楷体" w:hAnsi="华文楷体"/>
                <w:b/>
                <w:kern w:val="0"/>
                <w:sz w:val="20"/>
                <w:szCs w:val="21"/>
              </w:rPr>
            </w:pPr>
          </w:p>
        </w:tc>
        <w:tc>
          <w:tcPr>
            <w:tcW w:w="370" w:type="pct"/>
            <w:vAlign w:val="center"/>
          </w:tcPr>
          <w:p w14:paraId="174E2EC8" w14:textId="77777777" w:rsidR="00A43630" w:rsidRDefault="00A43630" w:rsidP="00B412F3">
            <w:pPr>
              <w:jc w:val="center"/>
              <w:rPr>
                <w:rFonts w:ascii="华文楷体" w:eastAsia="华文楷体" w:hAnsi="华文楷体"/>
                <w:b/>
                <w:kern w:val="0"/>
                <w:sz w:val="20"/>
                <w:szCs w:val="21"/>
              </w:rPr>
            </w:pPr>
          </w:p>
        </w:tc>
        <w:tc>
          <w:tcPr>
            <w:tcW w:w="314" w:type="pct"/>
            <w:vAlign w:val="center"/>
          </w:tcPr>
          <w:p w14:paraId="2D655ACA" w14:textId="77777777" w:rsidR="00A43630" w:rsidRDefault="00A43630" w:rsidP="00B412F3">
            <w:pPr>
              <w:jc w:val="center"/>
              <w:rPr>
                <w:rFonts w:ascii="华文楷体" w:eastAsia="华文楷体" w:hAnsi="华文楷体"/>
                <w:b/>
                <w:kern w:val="0"/>
                <w:sz w:val="20"/>
                <w:szCs w:val="21"/>
              </w:rPr>
            </w:pPr>
          </w:p>
        </w:tc>
        <w:tc>
          <w:tcPr>
            <w:tcW w:w="548" w:type="pct"/>
            <w:vAlign w:val="center"/>
          </w:tcPr>
          <w:p w14:paraId="2458D0B3" w14:textId="77777777" w:rsidR="00A43630" w:rsidRDefault="00A43630" w:rsidP="00B412F3">
            <w:pPr>
              <w:jc w:val="center"/>
              <w:rPr>
                <w:rFonts w:ascii="华文楷体" w:eastAsia="华文楷体" w:hAnsi="华文楷体"/>
                <w:b/>
                <w:kern w:val="0"/>
                <w:sz w:val="20"/>
                <w:szCs w:val="21"/>
              </w:rPr>
            </w:pPr>
          </w:p>
        </w:tc>
        <w:tc>
          <w:tcPr>
            <w:tcW w:w="628" w:type="pct"/>
            <w:vAlign w:val="center"/>
          </w:tcPr>
          <w:p w14:paraId="7E4B2A48" w14:textId="77777777" w:rsidR="00A43630" w:rsidRDefault="00A43630" w:rsidP="00B412F3">
            <w:pPr>
              <w:jc w:val="center"/>
              <w:rPr>
                <w:rFonts w:ascii="华文楷体" w:eastAsia="华文楷体" w:hAnsi="华文楷体"/>
                <w:b/>
                <w:kern w:val="0"/>
                <w:sz w:val="20"/>
                <w:szCs w:val="21"/>
              </w:rPr>
            </w:pPr>
          </w:p>
        </w:tc>
      </w:tr>
      <w:tr w:rsidR="00A43630" w14:paraId="2730941C" w14:textId="77777777" w:rsidTr="00B412F3">
        <w:trPr>
          <w:trHeight w:val="617"/>
        </w:trPr>
        <w:tc>
          <w:tcPr>
            <w:tcW w:w="452" w:type="pct"/>
            <w:vAlign w:val="center"/>
          </w:tcPr>
          <w:p w14:paraId="7642A871" w14:textId="77777777" w:rsidR="00A43630" w:rsidRDefault="00A43630" w:rsidP="00B412F3">
            <w:pPr>
              <w:jc w:val="center"/>
              <w:rPr>
                <w:rFonts w:ascii="华文楷体" w:eastAsia="华文楷体" w:hAnsi="华文楷体"/>
                <w:b/>
                <w:kern w:val="0"/>
                <w:sz w:val="20"/>
                <w:szCs w:val="21"/>
              </w:rPr>
            </w:pPr>
          </w:p>
        </w:tc>
        <w:tc>
          <w:tcPr>
            <w:tcW w:w="658" w:type="pct"/>
            <w:vAlign w:val="center"/>
          </w:tcPr>
          <w:p w14:paraId="7644E963"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4CBA825C" w14:textId="77777777" w:rsidR="00A43630" w:rsidRDefault="00A43630" w:rsidP="00B412F3">
            <w:pPr>
              <w:jc w:val="center"/>
              <w:rPr>
                <w:rFonts w:ascii="华文楷体" w:eastAsia="华文楷体" w:hAnsi="华文楷体"/>
                <w:b/>
                <w:kern w:val="0"/>
                <w:sz w:val="20"/>
                <w:szCs w:val="21"/>
              </w:rPr>
            </w:pPr>
          </w:p>
        </w:tc>
        <w:tc>
          <w:tcPr>
            <w:tcW w:w="406" w:type="pct"/>
            <w:vAlign w:val="center"/>
          </w:tcPr>
          <w:p w14:paraId="2A27E5F4"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57AD9602" w14:textId="77777777" w:rsidR="00A43630" w:rsidRDefault="00A43630" w:rsidP="00B412F3">
            <w:pPr>
              <w:jc w:val="center"/>
              <w:rPr>
                <w:rFonts w:ascii="华文楷体" w:eastAsia="华文楷体" w:hAnsi="华文楷体"/>
                <w:b/>
                <w:kern w:val="0"/>
                <w:sz w:val="20"/>
                <w:szCs w:val="21"/>
              </w:rPr>
            </w:pPr>
          </w:p>
        </w:tc>
        <w:tc>
          <w:tcPr>
            <w:tcW w:w="345" w:type="pct"/>
            <w:vAlign w:val="center"/>
          </w:tcPr>
          <w:p w14:paraId="3960B8CC" w14:textId="77777777" w:rsidR="00A43630" w:rsidRDefault="00A43630" w:rsidP="00B412F3">
            <w:pPr>
              <w:jc w:val="center"/>
              <w:rPr>
                <w:rFonts w:ascii="华文楷体" w:eastAsia="华文楷体" w:hAnsi="华文楷体"/>
                <w:b/>
                <w:kern w:val="0"/>
                <w:sz w:val="20"/>
                <w:szCs w:val="21"/>
              </w:rPr>
            </w:pPr>
          </w:p>
        </w:tc>
        <w:tc>
          <w:tcPr>
            <w:tcW w:w="336" w:type="pct"/>
            <w:vAlign w:val="center"/>
          </w:tcPr>
          <w:p w14:paraId="4E9E3D6E" w14:textId="77777777" w:rsidR="00A43630" w:rsidRDefault="00A43630" w:rsidP="00B412F3">
            <w:pPr>
              <w:jc w:val="center"/>
              <w:rPr>
                <w:rFonts w:ascii="华文楷体" w:eastAsia="华文楷体" w:hAnsi="华文楷体"/>
                <w:b/>
                <w:kern w:val="0"/>
                <w:sz w:val="20"/>
                <w:szCs w:val="21"/>
              </w:rPr>
            </w:pPr>
          </w:p>
        </w:tc>
        <w:tc>
          <w:tcPr>
            <w:tcW w:w="370" w:type="pct"/>
            <w:vAlign w:val="center"/>
          </w:tcPr>
          <w:p w14:paraId="27A77E34" w14:textId="77777777" w:rsidR="00A43630" w:rsidRDefault="00A43630" w:rsidP="00B412F3">
            <w:pPr>
              <w:jc w:val="center"/>
              <w:rPr>
                <w:rFonts w:ascii="华文楷体" w:eastAsia="华文楷体" w:hAnsi="华文楷体"/>
                <w:b/>
                <w:kern w:val="0"/>
                <w:sz w:val="20"/>
                <w:szCs w:val="21"/>
              </w:rPr>
            </w:pPr>
          </w:p>
        </w:tc>
        <w:tc>
          <w:tcPr>
            <w:tcW w:w="314" w:type="pct"/>
            <w:vAlign w:val="center"/>
          </w:tcPr>
          <w:p w14:paraId="5FA1512D" w14:textId="77777777" w:rsidR="00A43630" w:rsidRDefault="00A43630" w:rsidP="00B412F3">
            <w:pPr>
              <w:jc w:val="center"/>
              <w:rPr>
                <w:rFonts w:ascii="华文楷体" w:eastAsia="华文楷体" w:hAnsi="华文楷体"/>
                <w:b/>
                <w:kern w:val="0"/>
                <w:sz w:val="20"/>
                <w:szCs w:val="21"/>
              </w:rPr>
            </w:pPr>
          </w:p>
        </w:tc>
        <w:tc>
          <w:tcPr>
            <w:tcW w:w="548" w:type="pct"/>
            <w:vAlign w:val="center"/>
          </w:tcPr>
          <w:p w14:paraId="4AB425B5" w14:textId="77777777" w:rsidR="00A43630" w:rsidRDefault="00A43630" w:rsidP="00B412F3">
            <w:pPr>
              <w:jc w:val="center"/>
              <w:rPr>
                <w:rFonts w:ascii="华文楷体" w:eastAsia="华文楷体" w:hAnsi="华文楷体"/>
                <w:b/>
                <w:kern w:val="0"/>
                <w:sz w:val="20"/>
                <w:szCs w:val="21"/>
              </w:rPr>
            </w:pPr>
          </w:p>
        </w:tc>
        <w:tc>
          <w:tcPr>
            <w:tcW w:w="628" w:type="pct"/>
            <w:vAlign w:val="center"/>
          </w:tcPr>
          <w:p w14:paraId="7C175BFB" w14:textId="77777777" w:rsidR="00A43630" w:rsidRDefault="00A43630" w:rsidP="00B412F3">
            <w:pPr>
              <w:jc w:val="center"/>
              <w:rPr>
                <w:rFonts w:ascii="华文楷体" w:eastAsia="华文楷体" w:hAnsi="华文楷体"/>
                <w:b/>
                <w:kern w:val="0"/>
                <w:sz w:val="20"/>
                <w:szCs w:val="21"/>
              </w:rPr>
            </w:pPr>
          </w:p>
        </w:tc>
      </w:tr>
    </w:tbl>
    <w:p w14:paraId="0DAECD9E" w14:textId="187779D1" w:rsidR="00A43630" w:rsidRDefault="009E4566">
      <w:pPr>
        <w:rPr>
          <w:rFonts w:ascii="华文楷体" w:eastAsia="华文楷体" w:hAnsi="华文楷体"/>
          <w:szCs w:val="21"/>
        </w:rPr>
      </w:pPr>
      <w:r>
        <w:rPr>
          <w:rFonts w:ascii="华文楷体" w:eastAsia="华文楷体" w:hAnsi="华文楷体"/>
          <w:szCs w:val="21"/>
        </w:rPr>
        <w:t>备注：“项目编号”必须与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1A7427D2" w14:textId="77777777" w:rsidR="00111F88" w:rsidRDefault="00111F88" w:rsidP="00111F88">
      <w:pPr>
        <w:jc w:val="center"/>
        <w:rPr>
          <w:rFonts w:ascii="华文楷体" w:eastAsia="华文楷体" w:hAnsi="华文楷体" w:hint="eastAsia"/>
          <w:b/>
          <w:szCs w:val="21"/>
        </w:rPr>
      </w:pPr>
    </w:p>
    <w:p w14:paraId="2FEB6CEC" w14:textId="77777777" w:rsidR="00C4682C" w:rsidRDefault="00C4682C" w:rsidP="00111F88">
      <w:pPr>
        <w:jc w:val="center"/>
        <w:rPr>
          <w:rFonts w:ascii="华文楷体" w:eastAsia="华文楷体" w:hAnsi="华文楷体"/>
          <w:b/>
          <w:szCs w:val="21"/>
        </w:rPr>
      </w:pPr>
    </w:p>
    <w:p w14:paraId="4D7B8BB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租赁设备</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bookmarkStart w:id="0" w:name="_GoBack"/>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bookmarkEnd w:id="0"/>
    </w:p>
    <w:tbl>
      <w:tblPr>
        <w:tblStyle w:val="a8"/>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C4682C" w:rsidRPr="00C4682C" w14:paraId="6437825B" w14:textId="77777777" w:rsidTr="00FB4354">
        <w:trPr>
          <w:trHeight w:val="617"/>
        </w:trPr>
        <w:tc>
          <w:tcPr>
            <w:tcW w:w="498"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20" w:type="pct"/>
            <w:vAlign w:val="center"/>
          </w:tcPr>
          <w:p w14:paraId="59D11CE0"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设备</w:t>
            </w:r>
            <w:r w:rsidRPr="00C4682C">
              <w:rPr>
                <w:rFonts w:ascii="华文楷体" w:eastAsia="华文楷体" w:hAnsi="华文楷体"/>
                <w:b/>
                <w:szCs w:val="21"/>
              </w:rPr>
              <w:t>名称</w:t>
            </w:r>
          </w:p>
        </w:tc>
        <w:tc>
          <w:tcPr>
            <w:tcW w:w="515"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41"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515"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77"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37"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92"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605"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FB4354">
        <w:trPr>
          <w:trHeight w:val="617"/>
        </w:trPr>
        <w:tc>
          <w:tcPr>
            <w:tcW w:w="498"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FB4354">
        <w:trPr>
          <w:trHeight w:val="617"/>
        </w:trPr>
        <w:tc>
          <w:tcPr>
            <w:tcW w:w="498"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77777777"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若无配套设备，无需填写此表。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完成测试所需的所有耗材）和医疗设备均需提供有效产品注册证、备案证或证明文件（不作为医疗器械管理的产品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（试剂和进口设备）</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5F597" w14:textId="77777777" w:rsidR="00972AED" w:rsidRDefault="00972AED">
      <w:r>
        <w:separator/>
      </w:r>
    </w:p>
  </w:endnote>
  <w:endnote w:type="continuationSeparator" w:id="0">
    <w:p w14:paraId="299C9E47" w14:textId="77777777" w:rsidR="00972AED" w:rsidRDefault="009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972AED">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5D6861" w:rsidRPr="005D6861">
      <w:rPr>
        <w:noProof/>
        <w:lang w:val="zh-CN"/>
      </w:rPr>
      <w:t>4</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C7E44" w14:textId="77777777" w:rsidR="00972AED" w:rsidRDefault="00972AED">
      <w:r>
        <w:separator/>
      </w:r>
    </w:p>
  </w:footnote>
  <w:footnote w:type="continuationSeparator" w:id="0">
    <w:p w14:paraId="372E7595" w14:textId="77777777" w:rsidR="00972AED" w:rsidRDefault="00972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47798"/>
    <w:rsid w:val="002C6C72"/>
    <w:rsid w:val="002D0C36"/>
    <w:rsid w:val="002D2F5C"/>
    <w:rsid w:val="003118F8"/>
    <w:rsid w:val="003130E8"/>
    <w:rsid w:val="003144EE"/>
    <w:rsid w:val="00316F79"/>
    <w:rsid w:val="00332F9B"/>
    <w:rsid w:val="003956E2"/>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566"/>
    <w:rsid w:val="00A43630"/>
    <w:rsid w:val="00A510A4"/>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105</cp:revision>
  <dcterms:created xsi:type="dcterms:W3CDTF">2022-01-25T01:55:00Z</dcterms:created>
  <dcterms:modified xsi:type="dcterms:W3CDTF">2023-06-29T08:24:00Z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